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1.png" ContentType="image/png"/>
  <Override PartName="/word/media/rId225.png" ContentType="image/png"/>
  <Override PartName="/word/media/rId236.png" ContentType="image/png"/>
  <Override PartName="/word/media/rId233.png" ContentType="image/png"/>
  <Override PartName="/word/media/rId60.png" ContentType="image/png"/>
  <Override PartName="/word/media/rId167.png" ContentType="image/png"/>
  <Override PartName="/word/media/rId41.png" ContentType="image/png"/>
  <Override PartName="/word/media/rId263.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3bdb823</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67"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pPr>
          </w:p>
        </w:tc>
      </w:tr>
    </w:tbl>
    <w:p>
      <w:pPr>
        <w:pStyle w:val="Textoindependiente"/>
      </w:pPr>
    </w:p>
    <w:bookmarkEnd w:id="239"/>
    <w:bookmarkStart w:id="240"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Textoindependiente"/>
      </w:pPr>
    </w:p>
    <w:p>
      <w:pPr>
        <w:pStyle w:val="Textoindependiente"/>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pPr>
          </w:p>
        </w:tc>
      </w:tr>
    </w:tbl>
    <w:p>
      <w:pPr>
        <w:pStyle w:val="Textoindependiente"/>
      </w:pPr>
    </w:p>
    <w:bookmarkEnd w:id="240"/>
    <w:bookmarkStart w:id="245"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44"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42" name="Picture"/>
            <a:graphic>
              <a:graphicData uri="http://schemas.openxmlformats.org/drawingml/2006/picture">
                <pic:pic>
                  <pic:nvPicPr>
                    <pic:cNvPr descr="images/catalogoaplicaciones.png" id="243" name="Picture"/>
                    <pic:cNvPicPr>
                      <a:picLocks noChangeArrowheads="1" noChangeAspect="1"/>
                    </pic:cNvPicPr>
                  </pic:nvPicPr>
                  <pic:blipFill>
                    <a:blip r:embed="rId241"/>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pPr>
          </w:p>
        </w:tc>
      </w:tr>
    </w:tbl>
    <w:p>
      <w:pPr>
        <w:pStyle w:val="Textoindependiente"/>
      </w:pPr>
    </w:p>
    <w:bookmarkEnd w:id="244"/>
    <w:bookmarkEnd w:id="245"/>
    <w:bookmarkStart w:id="252"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6">
        <w:r>
          <w:rPr>
            <w:rStyle w:val="Hipervnculo"/>
          </w:rPr>
          <w:t xml:space="preserve">N003e. Catálogo de Servicios FNA-1</w:t>
        </w:r>
      </w:hyperlink>
      <w:r>
        <w:t xml:space="preserve">, y</w:t>
      </w:r>
      <w:r>
        <w:t xml:space="preserve"> </w:t>
      </w:r>
      <w:hyperlink r:id="rId247">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7">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8">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1"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9" name="Picture"/>
            <a:graphic>
              <a:graphicData uri="http://schemas.openxmlformats.org/drawingml/2006/picture">
                <pic:pic>
                  <pic:nvPicPr>
                    <pic:cNvPr descr="images/VistaPortafolio-CatalogoServiciosFNA.1.png" id="250"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pPr>
          </w:p>
        </w:tc>
      </w:tr>
    </w:tbl>
    <w:p>
      <w:pPr>
        <w:pStyle w:val="Textoindependiente"/>
      </w:pPr>
    </w:p>
    <w:bookmarkEnd w:id="251"/>
    <w:bookmarkEnd w:id="252"/>
    <w:bookmarkStart w:id="256"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3">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4" name="Picture"/>
            <a:graphic>
              <a:graphicData uri="http://schemas.openxmlformats.org/drawingml/2006/picture">
                <pic:pic>
                  <pic:nvPicPr>
                    <pic:cNvPr descr="images/vistafuncional.png" id="2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6"/>
    <w:bookmarkStart w:id="261"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7">
        <w:r>
          <w:rPr>
            <w:rStyle w:val="Hipervnculo"/>
          </w:rPr>
          <w:t xml:space="preserve">Resultado Diagnóstico Situación Actual-3</w:t>
        </w:r>
      </w:hyperlink>
      <w:r>
        <w:t xml:space="preserve">, la prevalencia del enfoque ascendente (desde el provedor hacia negocio)</w:t>
      </w:r>
      <w:r>
        <w:t xml:space="preserve"> </w:t>
      </w:r>
      <w:hyperlink r:id="rId258">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3">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9" name="Picture"/>
            <a:graphic>
              <a:graphicData uri="http://schemas.openxmlformats.org/drawingml/2006/picture">
                <pic:pic>
                  <pic:nvPicPr>
                    <pic:cNvPr descr="images/vistafuncional.png" id="260"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1"/>
    <w:bookmarkStart w:id="262"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2"/>
    <w:bookmarkStart w:id="266"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4" name="Picture"/>
            <a:graphic>
              <a:graphicData uri="http://schemas.openxmlformats.org/drawingml/2006/picture">
                <pic:pic>
                  <pic:nvPicPr>
                    <pic:cNvPr descr="images/libreria.png" id="265" name="Picture"/>
                    <pic:cNvPicPr>
                      <a:picLocks noChangeArrowheads="1" noChangeAspect="1"/>
                    </pic:cNvPicPr>
                  </pic:nvPicPr>
                  <pic:blipFill>
                    <a:blip r:embed="rId263"/>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6"/>
    <w:bookmarkEnd w:id="267"/>
    <w:bookmarkStart w:id="268" w:name="fase-1-estado-soa-actual-3"/>
    <w:p>
      <w:pPr>
        <w:pStyle w:val="Ttulo1"/>
      </w:pPr>
      <w:r>
        <w:t xml:space="preserve">Fase 1: Estado SOA Actual</w:t>
      </w:r>
    </w:p>
    <w:bookmarkEnd w:id="268"/>
    <w:bookmarkStart w:id="269" w:name="Xde28353806a99316a61e306cd812fd556109b6d"/>
    <w:p>
      <w:pPr>
        <w:pStyle w:val="Ttulo1"/>
      </w:pPr>
      <w:r>
        <w:t xml:space="preserve">Contenido de los Productos Contractuales, 181-2020</w:t>
      </w:r>
    </w:p>
    <w:bookmarkEnd w:id="269"/>
    <w:bookmarkStart w:id="305"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0"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0"/>
    <w:bookmarkStart w:id="271"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1"/>
    <w:bookmarkStart w:id="272"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3bdb823 del 16 Jan 2023</w:t>
            </w:r>
          </w:p>
        </w:tc>
      </w:tr>
      <w:tr>
        <w:tc>
          <w:tcPr/>
          <w:p>
            <w:pPr>
              <w:pStyle w:val="Compact"/>
              <w:jc w:val="left"/>
            </w:pPr>
            <w:r>
              <w:t xml:space="preserve">Vínculos</w:t>
            </w:r>
          </w:p>
        </w:tc>
        <w:tc>
          <w:tcPr/>
          <w:p>
            <w:pPr>
              <w:pStyle w:val="Compact"/>
            </w:pPr>
          </w:p>
        </w:tc>
      </w:tr>
    </w:tbl>
    <w:p>
      <w:pPr>
        <w:pStyle w:val="Textoindependiente"/>
      </w:pPr>
    </w:p>
    <w:bookmarkEnd w:id="272"/>
    <w:bookmarkStart w:id="276" w:name="X425fbde9b319b03cbe8571108292e8c36154b36"/>
    <w:p>
      <w:pPr>
        <w:pStyle w:val="Ttulo2"/>
      </w:pPr>
      <w:r>
        <w:t xml:space="preserve">N001. Marco de interoperabilidad para Gobierno Digital</w:t>
      </w:r>
    </w:p>
    <w:bookmarkStart w:id="273" w:name="año-2019"/>
    <w:p>
      <w:pPr>
        <w:pStyle w:val="Ttulo3"/>
      </w:pPr>
      <w:r>
        <w:t xml:space="preserve">Año: 2019</w:t>
      </w:r>
    </w:p>
    <w:p>
      <w:pPr>
        <w:pStyle w:val="FirstParagraph"/>
      </w:pPr>
    </w:p>
    <w:bookmarkEnd w:id="273"/>
    <w:bookmarkStart w:id="274"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4"/>
    <w:bookmarkStart w:id="275"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5"/>
    <w:bookmarkEnd w:id="276"/>
    <w:bookmarkStart w:id="280" w:name="X1a74e3e9e30a7a43d55795b3b165d6576bc391d"/>
    <w:p>
      <w:pPr>
        <w:pStyle w:val="Ttulo2"/>
      </w:pPr>
      <w:r>
        <w:t xml:space="preserve">N002. Guía de Uso del Lenguaje Común de Intercambio de Información y Conceptos Generales</w:t>
      </w:r>
    </w:p>
    <w:bookmarkStart w:id="277" w:name="año-2019-1"/>
    <w:p>
      <w:pPr>
        <w:pStyle w:val="Ttulo3"/>
      </w:pPr>
      <w:r>
        <w:t xml:space="preserve">Año: 2019</w:t>
      </w:r>
    </w:p>
    <w:p>
      <w:pPr>
        <w:pStyle w:val="FirstParagraph"/>
      </w:pPr>
    </w:p>
    <w:bookmarkEnd w:id="277"/>
    <w:bookmarkStart w:id="278"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8"/>
    <w:bookmarkStart w:id="279"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9"/>
    <w:bookmarkEnd w:id="280"/>
    <w:bookmarkStart w:id="284" w:name="X20a8ca987249a8286ab2bc24ee6f36d419e998b"/>
    <w:p>
      <w:pPr>
        <w:pStyle w:val="Ttulo2"/>
      </w:pPr>
      <w:r>
        <w:t xml:space="preserve">N003. Guía Técnica de Información - Gobierno del dato</w:t>
      </w:r>
    </w:p>
    <w:bookmarkStart w:id="281" w:name="año-2019-2"/>
    <w:p>
      <w:pPr>
        <w:pStyle w:val="Ttulo3"/>
      </w:pPr>
      <w:r>
        <w:t xml:space="preserve">Año: 2019</w:t>
      </w:r>
    </w:p>
    <w:p>
      <w:pPr>
        <w:pStyle w:val="FirstParagraph"/>
      </w:pPr>
    </w:p>
    <w:bookmarkEnd w:id="281"/>
    <w:bookmarkStart w:id="282"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2"/>
    <w:bookmarkStart w:id="283"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3"/>
    <w:bookmarkEnd w:id="284"/>
    <w:bookmarkStart w:id="288" w:name="n004.-isoiec-18384-1"/>
    <w:p>
      <w:pPr>
        <w:pStyle w:val="Ttulo2"/>
      </w:pPr>
      <w:r>
        <w:t xml:space="preserve">N004. ISO/IEC 18384-1</w:t>
      </w:r>
    </w:p>
    <w:bookmarkStart w:id="285" w:name="año-2016"/>
    <w:p>
      <w:pPr>
        <w:pStyle w:val="Ttulo3"/>
      </w:pPr>
      <w:r>
        <w:t xml:space="preserve">Año: 2016</w:t>
      </w:r>
    </w:p>
    <w:p>
      <w:pPr>
        <w:pStyle w:val="FirstParagraph"/>
      </w:pPr>
    </w:p>
    <w:bookmarkEnd w:id="285"/>
    <w:bookmarkStart w:id="286"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6"/>
    <w:bookmarkStart w:id="287"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7"/>
    <w:bookmarkEnd w:id="288"/>
    <w:bookmarkStart w:id="292" w:name="n005.-xxxxx"/>
    <w:p>
      <w:pPr>
        <w:pStyle w:val="Ttulo2"/>
      </w:pPr>
      <w:r>
        <w:t xml:space="preserve">N005. XXXXX</w:t>
      </w:r>
    </w:p>
    <w:bookmarkStart w:id="289" w:name="año-yyyy"/>
    <w:p>
      <w:pPr>
        <w:pStyle w:val="Ttulo3"/>
      </w:pPr>
      <w:r>
        <w:t xml:space="preserve">Año: YYYY</w:t>
      </w:r>
    </w:p>
    <w:p>
      <w:pPr>
        <w:pStyle w:val="FirstParagraph"/>
      </w:pPr>
    </w:p>
    <w:bookmarkEnd w:id="289"/>
    <w:bookmarkStart w:id="290" w:name="justificación-8"/>
    <w:p>
      <w:pPr>
        <w:pStyle w:val="Ttulo3"/>
      </w:pPr>
      <w:r>
        <w:t xml:space="preserve">Justificación</w:t>
      </w:r>
    </w:p>
    <w:p>
      <w:pPr>
        <w:pStyle w:val="FirstParagraph"/>
      </w:pPr>
      <w:r>
        <w:t xml:space="preserve">…</w:t>
      </w:r>
    </w:p>
    <w:bookmarkEnd w:id="290"/>
    <w:bookmarkStart w:id="291"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1"/>
    <w:bookmarkEnd w:id="292"/>
    <w:bookmarkStart w:id="294"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pPr>
        <w:pStyle w:val="Textoindependiente"/>
      </w:pPr>
      <w:r>
        <w:t xml:space="preserve">Relación servicios - procesos del FNA</w:t>
      </w:r>
      <w:r>
        <w:t xml:space="preserve"> </w:t>
      </w:r>
      <w:hyperlink r:id="rId293">
        <w:r>
          <w:rPr>
            <w:rStyle w:val="Hipervnculo"/>
          </w:rPr>
          <w:t xml:space="preserve">Procesos de Negocio Objetos del Diagnóstico</w:t>
        </w:r>
      </w:hyperlink>
      <w:r>
        <w:t xml:space="preserve">.</w:t>
      </w:r>
    </w:p>
    <w:bookmarkEnd w:id="294"/>
    <w:bookmarkStart w:id="297" w:name="X3237e3b589d2512e99658589111b707373a4549"/>
    <w:p>
      <w:pPr>
        <w:pStyle w:val="Ttulo2"/>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295" name="Picture"/>
            <a:graphic>
              <a:graphicData uri="http://schemas.openxmlformats.org/drawingml/2006/picture">
                <pic:pic>
                  <pic:nvPicPr>
                    <pic:cNvPr descr="images/conclusiones-2.png" id="296"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297"/>
    <w:bookmarkStart w:id="298" w:name="X3b777e8924a770e9d7177a57cca3a754f2395c4"/>
    <w:p>
      <w:pPr>
        <w:pStyle w:val="Ttulo2"/>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bookmarkEnd w:id="298"/>
    <w:bookmarkStart w:id="299" w:name="Xed79fe0ceafe2078c233af9bba3a1e3e553d07c"/>
    <w:p>
      <w:pPr>
        <w:pStyle w:val="Ttulo2"/>
      </w:pPr>
      <w:r>
        <w:t xml:space="preserve">Análisis de Huella y Dependencia Tecnologica SOA del FNA</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299"/>
    <w:bookmarkStart w:id="300" w:name="Xad727b514f10c91a99e1e36033e87233fbdc6d6"/>
    <w:p>
      <w:pPr>
        <w:pStyle w:val="Ttulo2"/>
      </w:pPr>
      <w:r>
        <w:t xml:space="preserve">Análisis de Huella y Dependencia Tecnológica SOA del FNA</w:t>
      </w:r>
    </w:p>
    <w:p>
      <w:pPr>
        <w:pStyle w:val="FirstParagraph"/>
      </w:pPr>
      <w:r>
        <w:t xml:space="preserve">La dependencia de proveedor también se evidencia en el nivel de infraestructura con el fabricante IBM.</w:t>
      </w:r>
    </w:p>
    <w:p>
      <w:pPr>
        <w:pStyle w:val="Textoindependiente"/>
      </w:pPr>
    </w:p>
    <w:p>
      <w:pPr>
        <w:pStyle w:val="Textoindependiente"/>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00"/>
    <w:bookmarkStart w:id="301" w:name="análisis-de-gobierno-soa-del-fna-1"/>
    <w:p>
      <w:pPr>
        <w:pStyle w:val="Ttulo2"/>
      </w:pPr>
      <w:r>
        <w:t xml:space="preserve">Análisis de Gobierno SOA del FNA</w:t>
      </w:r>
    </w:p>
    <w:p>
      <w:pPr>
        <w:pStyle w:val="FirstParagraph"/>
      </w:pPr>
      <w:r>
        <w:t xml:space="preserve">A continuación identificaremos los riesgos que ameritan reforzar el gobierno SOA del Fondo.</w:t>
      </w:r>
    </w:p>
    <w:bookmarkEnd w:id="301"/>
    <w:bookmarkStart w:id="302" w:name="X8d933915eb9d1b57c4e968b935084b093057b37"/>
    <w:p>
      <w:pPr>
        <w:pStyle w:val="Ttulo2"/>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Textoindependiente"/>
      </w:pPr>
      <w:r>
        <w:t xml:space="preserve">El Process Server, componente que tiene un nivel de utilización considerable en el FNA no aparece en este corte, dado que no es una aplicación. Aún así, a este componente le aplique de igual manera este riesgo señalado.</w:t>
      </w:r>
    </w:p>
    <w:p>
      <w:r>
        <w:pict>
          <v:rect style="width:0;height:1.5pt" o:hralign="center" o:hrstd="t" o:hr="t"/>
        </w:pict>
      </w:r>
    </w:p>
    <w:bookmarkEnd w:id="302"/>
    <w:bookmarkStart w:id="303" w:name="X40d01de5ceedbe9db6e4c31365cad77c341102b"/>
    <w:p>
      <w:pPr>
        <w:pStyle w:val="Ttulo2"/>
      </w:pPr>
      <w:r>
        <w:t xml:space="preserve">Procesos de Negocio Objetos del Diagnóstico</w:t>
      </w:r>
    </w:p>
    <w:p>
      <w:pPr>
        <w:pStyle w:val="FirstParagraph"/>
      </w:pPr>
      <w:r>
        <w:t xml:space="preserve">No es evidenciable en los modelos del FNA la trazabilidad de implementación, ni la trazabilidad de cambios en los servicios con los procesos de negocio elegidos por este diagnóstico (PROC1. Administración de Cuentas y Pago de Cesantías, PROC2. Gestión Crédito, PROC3. Facturación y Cartera. Ver</w:t>
      </w:r>
      <w:r>
        <w:t xml:space="preserve"> </w:t>
      </w:r>
      <w:hyperlink r:id="rId40">
        <w:r>
          <w:rPr>
            <w:rStyle w:val="Hipervnculo"/>
          </w:rPr>
          <w:t xml:space="preserve">01a1.Vista de Contexto</w:t>
        </w:r>
      </w:hyperlink>
      <w:r>
        <w:t xml:space="preserve">). Esto impacta la gestión y nivel de utilización de la infraestructura SOA del FNA, como es el caso de los componentes Process Server y del bus.</w:t>
      </w:r>
    </w:p>
    <w:p>
      <w:pPr>
        <w:numPr>
          <w:ilvl w:val="0"/>
          <w:numId w:val="1036"/>
        </w:numPr>
        <w:pStyle w:val="Compact"/>
      </w:pPr>
      <w:r>
        <w:t xml:space="preserve">PROC1. Administración de Cuentas y Pago de Cesantías (CSNT)</w:t>
      </w:r>
    </w:p>
    <w:p>
      <w:pPr>
        <w:numPr>
          <w:ilvl w:val="0"/>
          <w:numId w:val="1036"/>
        </w:numPr>
        <w:pStyle w:val="Compact"/>
      </w:pPr>
      <w:r>
        <w:t xml:space="preserve">PROC2. Gestión Crédito</w:t>
      </w:r>
    </w:p>
    <w:p>
      <w:pPr>
        <w:numPr>
          <w:ilvl w:val="1"/>
          <w:numId w:val="1037"/>
        </w:numPr>
        <w:pStyle w:val="Compact"/>
      </w:pPr>
      <w:r>
        <w:t xml:space="preserve">PROC2.1. Gestión Crédito Educativo</w:t>
      </w:r>
    </w:p>
    <w:p>
      <w:pPr>
        <w:numPr>
          <w:ilvl w:val="1"/>
          <w:numId w:val="1037"/>
        </w:numPr>
        <w:pStyle w:val="Compact"/>
      </w:pPr>
      <w:r>
        <w:t xml:space="preserve">PROC2.2. Gestión Crédito Hipotecario</w:t>
      </w:r>
    </w:p>
    <w:p>
      <w:pPr>
        <w:numPr>
          <w:ilvl w:val="1"/>
          <w:numId w:val="1037"/>
        </w:numPr>
        <w:pStyle w:val="Compact"/>
      </w:pPr>
      <w:r>
        <w:t xml:space="preserve">PROC2.3. Gestión Crédito Constructor</w:t>
      </w:r>
    </w:p>
    <w:p>
      <w:pPr>
        <w:numPr>
          <w:ilvl w:val="0"/>
          <w:numId w:val="1036"/>
        </w:numPr>
        <w:pStyle w:val="Compact"/>
      </w:pPr>
      <w:r>
        <w:t xml:space="preserve">PROC3. Facturación y Cartera</w:t>
      </w:r>
    </w:p>
    <w:bookmarkEnd w:id="303"/>
    <w:bookmarkStart w:id="304" w:name="X7bea5950db54441d37d484b5c6cc08e5a8a9a09"/>
    <w:p>
      <w:pPr>
        <w:pStyle w:val="Ttulo2"/>
      </w:pPr>
      <w:r>
        <w:t xml:space="preserve">Vista Funcional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04"/>
    <w:bookmarkEnd w:id="305"/>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1" Target="media/rId241.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63" Target="media/rId263.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293" Target="01a1.VistadeContexto.docx"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48" Target="N003e.Cat&#225;logodeServicios.md" TargetMode="External" /><Relationship Type="http://schemas.openxmlformats.org/officeDocument/2006/relationships/hyperlink" Id="rId246" Target="N003e.Cat&#225;logodeServiciosFNA-1.md" TargetMode="External" /><Relationship Type="http://schemas.openxmlformats.org/officeDocument/2006/relationships/hyperlink" Id="rId247"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3" Target="ResultadoDiagn&#243;sticoSituaci&#243;nActual-1" TargetMode="External" /><Relationship Type="http://schemas.openxmlformats.org/officeDocument/2006/relationships/hyperlink" Id="rId258" Target="ResultadoDiagn&#243;sticoSituaci&#243;nActual-1a.md" TargetMode="External" /><Relationship Type="http://schemas.openxmlformats.org/officeDocument/2006/relationships/hyperlink" Id="rId257"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293" Target="01a1.VistadeContexto.docx"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48" Target="N003e.Cat&#225;logodeServicios.md" TargetMode="External" /><Relationship Type="http://schemas.openxmlformats.org/officeDocument/2006/relationships/hyperlink" Id="rId246" Target="N003e.Cat&#225;logodeServiciosFNA-1.md" TargetMode="External" /><Relationship Type="http://schemas.openxmlformats.org/officeDocument/2006/relationships/hyperlink" Id="rId247"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3" Target="ResultadoDiagn&#243;sticoSituaci&#243;nActual-1" TargetMode="External" /><Relationship Type="http://schemas.openxmlformats.org/officeDocument/2006/relationships/hyperlink" Id="rId258" Target="ResultadoDiagn&#243;sticoSituaci&#243;nActual-1a.md" TargetMode="External" /><Relationship Type="http://schemas.openxmlformats.org/officeDocument/2006/relationships/hyperlink" Id="rId257"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2023-01-16T20:08:02Z</dcterms:created>
  <dcterms:modified xsi:type="dcterms:W3CDTF">2023-01-16T20:08:02Z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